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bookmarkStart w:colFirst="0" w:colLast="0" w:name="_heading=h.e62w9gebqjp9" w:id="0"/>
      <w:bookmarkEnd w:id="0"/>
      <w:r w:rsidDel="00000000" w:rsidR="00000000" w:rsidRPr="00000000">
        <w:rPr>
          <w:b w:val="1"/>
          <w:sz w:val="36"/>
          <w:szCs w:val="36"/>
          <w:rtl w:val="0"/>
        </w:rPr>
        <w:t xml:space="preserve">UČEBNÍ OSNOVY  FZŠ Mezi Školami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 </w:t>
      </w:r>
    </w:p>
    <w:tbl>
      <w:tblPr>
        <w:tblStyle w:val="Table1"/>
        <w:tblW w:w="1399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83"/>
        <w:gridCol w:w="10709"/>
        <w:tblGridChange w:id="0">
          <w:tblGrid>
            <w:gridCol w:w="3283"/>
            <w:gridCol w:w="10709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4">
            <w:pPr>
              <w:rPr>
                <w:b w:val="1"/>
                <w:color w:val="0000ff"/>
              </w:rPr>
            </w:pPr>
            <w:r w:rsidDel="00000000" w:rsidR="00000000" w:rsidRPr="00000000">
              <w:rPr>
                <w:b w:val="1"/>
                <w:color w:val="0000ff"/>
                <w:rtl w:val="0"/>
              </w:rPr>
              <w:t xml:space="preserve">Vzdělávací oblast :</w:t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Cizí jazyk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6">
            <w:pPr>
              <w:rPr>
                <w:b w:val="1"/>
                <w:color w:val="0000ff"/>
              </w:rPr>
            </w:pPr>
            <w:r w:rsidDel="00000000" w:rsidR="00000000" w:rsidRPr="00000000">
              <w:rPr>
                <w:b w:val="1"/>
                <w:color w:val="0000ff"/>
                <w:rtl w:val="0"/>
              </w:rPr>
              <w:t xml:space="preserve">Vyučovací předmět :</w:t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Anglický jazyk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  <w:color w:val="0000ff"/>
              </w:rPr>
            </w:pPr>
            <w:r w:rsidDel="00000000" w:rsidR="00000000" w:rsidRPr="00000000">
              <w:rPr>
                <w:b w:val="1"/>
                <w:color w:val="0000ff"/>
                <w:rtl w:val="0"/>
              </w:rPr>
              <w:t xml:space="preserve">Období – ročník :</w:t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2. období – 5. ročník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A">
            <w:pPr>
              <w:rPr>
                <w:b w:val="1"/>
                <w:color w:val="0000ff"/>
              </w:rPr>
            </w:pPr>
            <w:r w:rsidDel="00000000" w:rsidR="00000000" w:rsidRPr="00000000">
              <w:rPr>
                <w:b w:val="1"/>
                <w:color w:val="0000ff"/>
                <w:rtl w:val="0"/>
              </w:rPr>
              <w:t xml:space="preserve">Počet hodin :</w:t>
            </w:r>
          </w:p>
        </w:tc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 hod./týden</w:t>
            </w:r>
          </w:p>
        </w:tc>
      </w:tr>
    </w:tbl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3986.0" w:type="dxa"/>
        <w:jc w:val="left"/>
        <w:tblBorders>
          <w:top w:color="0000ff" w:space="0" w:sz="6" w:val="single"/>
          <w:left w:color="0000ff" w:space="0" w:sz="6" w:val="single"/>
          <w:bottom w:color="0000ff" w:space="0" w:sz="6" w:val="single"/>
          <w:right w:color="0000ff" w:space="0" w:sz="6" w:val="single"/>
        </w:tblBorders>
        <w:tblLayout w:type="fixed"/>
        <w:tblLook w:val="0000"/>
      </w:tblPr>
      <w:tblGrid>
        <w:gridCol w:w="13986"/>
        <w:tblGridChange w:id="0">
          <w:tblGrid>
            <w:gridCol w:w="13986"/>
          </w:tblGrid>
        </w:tblGridChange>
      </w:tblGrid>
      <w:tr>
        <w:trPr>
          <w:cantSplit w:val="0"/>
          <w:trHeight w:val="2580" w:hRule="atLeast"/>
          <w:tblHeader w:val="0"/>
        </w:trPr>
        <w:tc>
          <w:tcPr>
            <w:shd w:fill="ffff99" w:val="clear"/>
            <w:vAlign w:val="center"/>
          </w:tcPr>
          <w:p w:rsidR="00000000" w:rsidDel="00000000" w:rsidP="00000000" w:rsidRDefault="00000000" w:rsidRPr="00000000" w14:paraId="0000000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Cílové zaměření předmětu Anglický jazyk v 5. ročníku ZV</w:t>
            </w:r>
          </w:p>
          <w:p w:rsidR="00000000" w:rsidDel="00000000" w:rsidP="00000000" w:rsidRDefault="00000000" w:rsidRPr="00000000" w14:paraId="0000000F">
            <w:pPr>
              <w:ind w:left="700" w:firstLine="0"/>
              <w:rPr>
                <w:b w:val="1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Vzdělávání v předmětu Anglický jazyk v 5. ročníku směřuje 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ind w:left="1060" w:hanging="360"/>
              <w:rPr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Vytvoření příležitosti nabídnout všem žákům učit se angličtinu aktivní a kreativní cestou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1060" w:hanging="360"/>
              <w:rPr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využití všech smyslů dětí v průběhu vyučovacího procesu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1060" w:hanging="360"/>
              <w:rPr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propojování  získaných dovedností se svými zkušenostmi a svým životem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1060" w:hanging="360"/>
              <w:rPr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rozšiřování komunikačních dovedností s cílem jednoduše a přirozeně reagovat v běžných situacích každodenního života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ind w:left="1060" w:hanging="360"/>
              <w:rPr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prohlubování vědomostí o kultuře anglicky mluvících zemí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ind w:left="1060" w:hanging="36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získání schopnosti číst s porozuměním přiměřené texty v daném cizím jazyce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ind w:left="340" w:firstLine="0"/>
              <w:rPr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141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30"/>
        <w:gridCol w:w="4679"/>
        <w:gridCol w:w="4501"/>
        <w:gridCol w:w="1609"/>
        <w:gridCol w:w="11"/>
        <w:gridCol w:w="1980"/>
        <w:tblGridChange w:id="0">
          <w:tblGrid>
            <w:gridCol w:w="1330"/>
            <w:gridCol w:w="4679"/>
            <w:gridCol w:w="4501"/>
            <w:gridCol w:w="1609"/>
            <w:gridCol w:w="11"/>
            <w:gridCol w:w="1980"/>
          </w:tblGrid>
        </w:tblGridChange>
      </w:tblGrid>
      <w:tr>
        <w:trPr>
          <w:cantSplit w:val="0"/>
          <w:trHeight w:val="573" w:hRule="atLeast"/>
          <w:tblHeader w:val="1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Vzdělávací strategie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Dílčí výstupy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Učivo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  <w:color w:val="0000ff"/>
              </w:rPr>
            </w:pPr>
            <w:r w:rsidDel="00000000" w:rsidR="00000000" w:rsidRPr="00000000">
              <w:rPr>
                <w:b w:val="1"/>
                <w:color w:val="0000ff"/>
                <w:rtl w:val="0"/>
              </w:rPr>
              <w:t xml:space="preserve">Průřezové téma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Mezipředmětové vztahy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6"/>
            <w:shd w:fill="ffff99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Poslech s porozuměním, mluvení, čtení s porozuměním, produktivní řečové dovednosti, psaní</w:t>
            </w:r>
          </w:p>
        </w:tc>
      </w:tr>
      <w:tr>
        <w:trPr>
          <w:cantSplit w:val="0"/>
          <w:trHeight w:val="7330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1.3</w:t>
            </w:r>
          </w:p>
          <w:p w:rsidR="00000000" w:rsidDel="00000000" w:rsidP="00000000" w:rsidRDefault="00000000" w:rsidRPr="00000000" w14:paraId="00000028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1.6</w:t>
            </w:r>
          </w:p>
          <w:p w:rsidR="00000000" w:rsidDel="00000000" w:rsidP="00000000" w:rsidRDefault="00000000" w:rsidRPr="00000000" w14:paraId="00000029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1.7</w:t>
            </w:r>
          </w:p>
          <w:p w:rsidR="00000000" w:rsidDel="00000000" w:rsidP="00000000" w:rsidRDefault="00000000" w:rsidRPr="00000000" w14:paraId="0000002A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2.1</w:t>
            </w:r>
          </w:p>
          <w:p w:rsidR="00000000" w:rsidDel="00000000" w:rsidP="00000000" w:rsidRDefault="00000000" w:rsidRPr="00000000" w14:paraId="0000002B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2.2</w:t>
            </w:r>
          </w:p>
          <w:p w:rsidR="00000000" w:rsidDel="00000000" w:rsidP="00000000" w:rsidRDefault="00000000" w:rsidRPr="00000000" w14:paraId="0000002C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2.6</w:t>
            </w:r>
          </w:p>
          <w:p w:rsidR="00000000" w:rsidDel="00000000" w:rsidP="00000000" w:rsidRDefault="00000000" w:rsidRPr="00000000" w14:paraId="0000002D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3.1</w:t>
            </w:r>
          </w:p>
          <w:p w:rsidR="00000000" w:rsidDel="00000000" w:rsidP="00000000" w:rsidRDefault="00000000" w:rsidRPr="00000000" w14:paraId="0000002E">
            <w:pPr>
              <w:ind w:left="360" w:firstLine="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3.5</w:t>
            </w:r>
          </w:p>
          <w:p w:rsidR="00000000" w:rsidDel="00000000" w:rsidP="00000000" w:rsidRDefault="00000000" w:rsidRPr="00000000" w14:paraId="00000030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3.6</w:t>
            </w:r>
          </w:p>
          <w:p w:rsidR="00000000" w:rsidDel="00000000" w:rsidP="00000000" w:rsidRDefault="00000000" w:rsidRPr="00000000" w14:paraId="00000031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3.7</w:t>
            </w:r>
          </w:p>
          <w:p w:rsidR="00000000" w:rsidDel="00000000" w:rsidP="00000000" w:rsidRDefault="00000000" w:rsidRPr="00000000" w14:paraId="00000032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3.8</w:t>
            </w:r>
          </w:p>
          <w:p w:rsidR="00000000" w:rsidDel="00000000" w:rsidP="00000000" w:rsidRDefault="00000000" w:rsidRPr="00000000" w14:paraId="00000033">
            <w:pPr>
              <w:ind w:left="360" w:firstLine="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4.1</w:t>
            </w:r>
          </w:p>
          <w:p w:rsidR="00000000" w:rsidDel="00000000" w:rsidP="00000000" w:rsidRDefault="00000000" w:rsidRPr="00000000" w14:paraId="00000035">
            <w:pPr>
              <w:ind w:left="360" w:firstLine="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4.6</w:t>
            </w:r>
          </w:p>
          <w:p w:rsidR="00000000" w:rsidDel="00000000" w:rsidP="00000000" w:rsidRDefault="00000000" w:rsidRPr="00000000" w14:paraId="00000037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5.1</w:t>
            </w:r>
          </w:p>
          <w:p w:rsidR="00000000" w:rsidDel="00000000" w:rsidP="00000000" w:rsidRDefault="00000000" w:rsidRPr="00000000" w14:paraId="00000038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5.2</w:t>
            </w:r>
          </w:p>
          <w:p w:rsidR="00000000" w:rsidDel="00000000" w:rsidP="00000000" w:rsidRDefault="00000000" w:rsidRPr="00000000" w14:paraId="00000039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5.3</w:t>
            </w:r>
          </w:p>
          <w:p w:rsidR="00000000" w:rsidDel="00000000" w:rsidP="00000000" w:rsidRDefault="00000000" w:rsidRPr="00000000" w14:paraId="0000003A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5.4</w:t>
            </w:r>
          </w:p>
          <w:p w:rsidR="00000000" w:rsidDel="00000000" w:rsidP="00000000" w:rsidRDefault="00000000" w:rsidRPr="00000000" w14:paraId="0000003B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5.6</w:t>
            </w:r>
          </w:p>
          <w:p w:rsidR="00000000" w:rsidDel="00000000" w:rsidP="00000000" w:rsidRDefault="00000000" w:rsidRPr="00000000" w14:paraId="0000003C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6.5</w:t>
            </w:r>
          </w:p>
          <w:p w:rsidR="00000000" w:rsidDel="00000000" w:rsidP="00000000" w:rsidRDefault="00000000" w:rsidRPr="00000000" w14:paraId="0000003D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6.6</w:t>
            </w:r>
          </w:p>
          <w:p w:rsidR="00000000" w:rsidDel="00000000" w:rsidP="00000000" w:rsidRDefault="00000000" w:rsidRPr="00000000" w14:paraId="0000003E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6.7</w:t>
            </w:r>
          </w:p>
          <w:p w:rsidR="00000000" w:rsidDel="00000000" w:rsidP="00000000" w:rsidRDefault="00000000" w:rsidRPr="00000000" w14:paraId="0000003F">
            <w:pPr>
              <w:ind w:left="360" w:firstLine="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7.2</w:t>
            </w:r>
          </w:p>
          <w:p w:rsidR="00000000" w:rsidDel="00000000" w:rsidP="00000000" w:rsidRDefault="00000000" w:rsidRPr="00000000" w14:paraId="00000041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7.3</w:t>
            </w:r>
          </w:p>
          <w:p w:rsidR="00000000" w:rsidDel="00000000" w:rsidP="00000000" w:rsidRDefault="00000000" w:rsidRPr="00000000" w14:paraId="00000042">
            <w:pPr>
              <w:ind w:left="360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7.4</w:t>
            </w:r>
          </w:p>
          <w:p w:rsidR="00000000" w:rsidDel="00000000" w:rsidP="00000000" w:rsidRDefault="00000000" w:rsidRPr="00000000" w14:paraId="00000043">
            <w:pPr>
              <w:ind w:left="360" w:firstLine="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rPr>
                <w:i w:val="1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ind w:left="360" w:firstLine="0"/>
              <w:rPr>
                <w:i w:val="1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ind w:left="360" w:firstLine="0"/>
              <w:rPr>
                <w:i w:val="1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Žák: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ind w:left="643" w:hanging="360"/>
              <w:rPr>
                <w:i w:val="1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sdělí jednoduchým způsobem základní informace týkající se jeho samotného, rodiny, školy, volného času a dalších osvojovaných témat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ind w:left="643" w:hanging="360"/>
              <w:rPr>
                <w:i w:val="1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odpovídá na jednoduché otázky týkající se jeho samotného, rodiny, školy, volného času a dalších osvojovaných témat a podobné otázky pokládá</w:t>
            </w:r>
            <w:r w:rsidDel="00000000" w:rsidR="00000000" w:rsidRPr="00000000">
              <w:rPr>
                <w:i w:val="1"/>
                <w:color w:val="a6a6a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643" w:hanging="360"/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rozumí jednoduchým textům z běžného života, zejména pokud má k dispozici vizuální oporu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643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se zapojí do jednoduchých rozhovorů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643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vyhledá potřebnou informaci v jednoduchém textu, který se vztahuje k osvojovaným tématům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643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napíše krátký text s použitím jednoduchých vět a slovních spojení o sobě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, r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odině, činnostech a událostech z oblasti svých zájmů a každodenního života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643" w:hanging="36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vyplní osobní údaje do formuláře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before="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zvuková a grafická podoba jazyka </w:t>
            </w:r>
            <w:r w:rsidDel="00000000" w:rsidR="00000000" w:rsidRPr="00000000">
              <w:rPr>
                <w:rtl w:val="0"/>
              </w:rPr>
              <w:t xml:space="preserve">– fonetické znaky (pasivně), základní výslovnostní návyky, vztah mezi zvukovou a grafickou podobou slov </w:t>
            </w:r>
          </w:p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before="4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before="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slovní zásoba </w:t>
            </w:r>
            <w:r w:rsidDel="00000000" w:rsidR="00000000" w:rsidRPr="00000000">
              <w:rPr>
                <w:rtl w:val="0"/>
              </w:rPr>
              <w:t xml:space="preserve">– základní slovní zásoba v komunikačních situacích probíraných tematických okruhů, práce se slovníkem</w:t>
            </w:r>
          </w:p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before="4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before="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tematické okruhy </w:t>
            </w:r>
            <w:r w:rsidDel="00000000" w:rsidR="00000000" w:rsidRPr="00000000">
              <w:rPr>
                <w:rtl w:val="0"/>
              </w:rPr>
              <w:t xml:space="preserve">– rodina, škola, volný čas, oblékání, nákupy, bydliště, kalendářní rok (svátky, měsíce, dny v týdnu, hodiny), příroda</w:t>
            </w:r>
          </w:p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before="4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before="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mluvnice </w:t>
            </w:r>
            <w:r w:rsidDel="00000000" w:rsidR="00000000" w:rsidRPr="00000000">
              <w:rPr>
                <w:rtl w:val="0"/>
              </w:rPr>
              <w:t xml:space="preserve">– základní gramatické struktury a typy vět, jsou-li součástí pamětně osvojeného repertoáru (jsou tolerovány elementární chyby, které nenarušují smysl sdělení a porozumění)</w:t>
            </w:r>
          </w:p>
          <w:p w:rsidR="00000000" w:rsidDel="00000000" w:rsidP="00000000" w:rsidRDefault="00000000" w:rsidRPr="00000000" w14:paraId="0000006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Multikulturní výchova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Výchova k myšlení v evropských a globálních souvislostech</w:t>
            </w:r>
          </w:p>
          <w:p w:rsidR="00000000" w:rsidDel="00000000" w:rsidP="00000000" w:rsidRDefault="00000000" w:rsidRPr="00000000" w14:paraId="0000006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Mediální výchova</w:t>
            </w:r>
          </w:p>
          <w:p w:rsidR="00000000" w:rsidDel="00000000" w:rsidP="00000000" w:rsidRDefault="00000000" w:rsidRPr="00000000" w14:paraId="0000006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Multikulturní výchova</w:t>
            </w:r>
          </w:p>
          <w:p w:rsidR="00000000" w:rsidDel="00000000" w:rsidP="00000000" w:rsidRDefault="00000000" w:rsidRPr="00000000" w14:paraId="0000007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Výtvarná výchova</w:t>
            </w:r>
          </w:p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Přírodověda</w:t>
            </w:r>
          </w:p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Český jazyk</w:t>
            </w:r>
          </w:p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Vlastivěda</w:t>
            </w:r>
          </w:p>
        </w:tc>
      </w:tr>
    </w:tbl>
    <w:p w:rsidR="00000000" w:rsidDel="00000000" w:rsidP="00000000" w:rsidRDefault="00000000" w:rsidRPr="00000000" w14:paraId="0000008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b w:val="1"/>
          <w:color w:val="0000ff"/>
          <w:sz w:val="28"/>
          <w:szCs w:val="28"/>
        </w:rPr>
      </w:pPr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Průřezová témata v předmětu Anglický jazyk v 5. ročníku ZV </w:t>
      </w:r>
    </w:p>
    <w:p w:rsidR="00000000" w:rsidDel="00000000" w:rsidP="00000000" w:rsidRDefault="00000000" w:rsidRPr="00000000" w14:paraId="00000091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99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25"/>
        <w:gridCol w:w="539"/>
        <w:gridCol w:w="1971"/>
        <w:gridCol w:w="3373"/>
        <w:gridCol w:w="2146"/>
        <w:gridCol w:w="4538"/>
        <w:tblGridChange w:id="0">
          <w:tblGrid>
            <w:gridCol w:w="1425"/>
            <w:gridCol w:w="539"/>
            <w:gridCol w:w="1971"/>
            <w:gridCol w:w="3373"/>
            <w:gridCol w:w="2146"/>
            <w:gridCol w:w="4538"/>
          </w:tblGrid>
        </w:tblGridChange>
      </w:tblGrid>
      <w:tr>
        <w:trPr>
          <w:cantSplit w:val="1"/>
          <w:trHeight w:val="1134" w:hRule="atLeast"/>
          <w:tblHeader w:val="0"/>
        </w:trPr>
        <w:tc>
          <w:tcPr>
            <w:shd w:fill="ffff99" w:val="clear"/>
          </w:tcPr>
          <w:p w:rsidR="00000000" w:rsidDel="00000000" w:rsidP="00000000" w:rsidRDefault="00000000" w:rsidRPr="00000000" w14:paraId="0000009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Předmět</w:t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093">
            <w:pPr>
              <w:ind w:left="113" w:right="113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ročník</w:t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09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Tématický okruh učiva</w:t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09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Průřezové téma</w:t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09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Tématický okruh průřezového tématu</w:t>
            </w:r>
          </w:p>
        </w:tc>
        <w:tc>
          <w:tcPr>
            <w:shd w:fill="ffff99" w:val="clear"/>
          </w:tcPr>
          <w:p w:rsidR="00000000" w:rsidDel="00000000" w:rsidP="00000000" w:rsidRDefault="00000000" w:rsidRPr="00000000" w14:paraId="0000009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Organizační formy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8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Anglický jazyk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99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5.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Poslech s porozuměním, mluvení, čtení s porozuměním, produktivní řečové dovednosti, psaní</w:t>
            </w:r>
          </w:p>
          <w:p w:rsidR="00000000" w:rsidDel="00000000" w:rsidP="00000000" w:rsidRDefault="00000000" w:rsidRPr="00000000" w14:paraId="0000009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Welcome, Friends, My life, Free time, Around the world, Shopping, Party time, School, Entertainment, Thanksgiving,</w:t>
            </w:r>
          </w:p>
          <w:p w:rsidR="00000000" w:rsidDel="00000000" w:rsidP="00000000" w:rsidRDefault="00000000" w:rsidRPr="00000000" w14:paraId="0000009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Christmas</w:t>
            </w:r>
          </w:p>
          <w:p w:rsidR="00000000" w:rsidDel="00000000" w:rsidP="00000000" w:rsidRDefault="00000000" w:rsidRPr="00000000" w14:paraId="0000009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Friends, My life, Free time, Around the world, School, Entertainment, Thanksgiving,</w:t>
            </w:r>
          </w:p>
          <w:p w:rsidR="00000000" w:rsidDel="00000000" w:rsidP="00000000" w:rsidRDefault="00000000" w:rsidRPr="00000000" w14:paraId="000000A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Christmas</w:t>
            </w:r>
          </w:p>
          <w:p w:rsidR="00000000" w:rsidDel="00000000" w:rsidP="00000000" w:rsidRDefault="00000000" w:rsidRPr="00000000" w14:paraId="000000A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  <w:t xml:space="preserve">Around the world</w:t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Osobnostní a sociální výchova</w:t>
            </w:r>
          </w:p>
          <w:p w:rsidR="00000000" w:rsidDel="00000000" w:rsidP="00000000" w:rsidRDefault="00000000" w:rsidRPr="00000000" w14:paraId="000000A5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Integrace do předmětu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Výchova k myšlení v evropských a globálních souvislostech</w:t>
            </w:r>
          </w:p>
          <w:p w:rsidR="00000000" w:rsidDel="00000000" w:rsidP="00000000" w:rsidRDefault="00000000" w:rsidRPr="00000000" w14:paraId="000000B0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Evropa a svět nás zajímá</w:t>
            </w:r>
          </w:p>
          <w:p w:rsidR="00000000" w:rsidDel="00000000" w:rsidP="00000000" w:rsidRDefault="00000000" w:rsidRPr="00000000" w14:paraId="000000B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Objevujeme Evropu a svět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Integrace do předmětu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Multikulturní výchova</w:t>
            </w:r>
          </w:p>
          <w:p w:rsidR="00000000" w:rsidDel="00000000" w:rsidP="00000000" w:rsidRDefault="00000000" w:rsidRPr="00000000" w14:paraId="000000BF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Lidské vztahy</w:t>
            </w:r>
          </w:p>
          <w:p w:rsidR="00000000" w:rsidDel="00000000" w:rsidP="00000000" w:rsidRDefault="00000000" w:rsidRPr="00000000" w14:paraId="000000C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Multikulturalita</w:t>
            </w:r>
          </w:p>
          <w:p w:rsidR="00000000" w:rsidDel="00000000" w:rsidP="00000000" w:rsidRDefault="00000000" w:rsidRPr="00000000" w14:paraId="000000C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Princip sociálního smíru a solidarity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Integrace do předmětu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Mediální výchova</w:t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Fungování a vliv médií ve společn.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Integrace do předmětu</w:t>
            </w:r>
          </w:p>
        </w:tc>
      </w:tr>
    </w:tbl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right" w:leader="none" w:pos="14002"/>
      </w:tabs>
      <w:rPr>
        <w:color w:val="000000"/>
      </w:rPr>
    </w:pPr>
    <w:r w:rsidDel="00000000" w:rsidR="00000000" w:rsidRPr="00000000">
      <w:rPr>
        <w:color w:val="000000"/>
        <w:rtl w:val="0"/>
      </w:rPr>
      <w:tab/>
      <w:tab/>
      <w:tab/>
      <w:t xml:space="preserve">4.1.2.5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bullet"/>
      <w:lvlText w:val="-"/>
      <w:lvlJc w:val="left"/>
      <w:pPr>
        <w:ind w:left="643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0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dpis1Char" w:customStyle="1">
    <w:name w:val="Nadpis 1 Char"/>
    <w:basedOn w:val="Standardnpsmoodstavce"/>
    <w:link w:val="Nadpis1"/>
    <w:rsid w:val="001B7DA6"/>
    <w:rPr>
      <w:rFonts w:ascii="Times New Roman" w:cs="Times New Roman" w:eastAsia="Times New Roman" w:hAnsi="Times New Roman"/>
      <w:b w:val="1"/>
      <w:bCs w:val="1"/>
      <w:sz w:val="28"/>
      <w:szCs w:val="24"/>
      <w:lang w:eastAsia="cs-CZ"/>
    </w:rPr>
  </w:style>
  <w:style w:type="character" w:styleId="Nadpis2Char" w:customStyle="1">
    <w:name w:val="Nadpis 2 Char"/>
    <w:basedOn w:val="Standardnpsmoodstavce"/>
    <w:link w:val="Nadpis2"/>
    <w:rsid w:val="001B7DA6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cs-CZ"/>
    </w:rPr>
  </w:style>
  <w:style w:type="character" w:styleId="Nadpis3Char" w:customStyle="1">
    <w:name w:val="Nadpis 3 Char"/>
    <w:basedOn w:val="Standardnpsmoodstavce"/>
    <w:link w:val="Nadpis3"/>
    <w:rsid w:val="001B7DA6"/>
    <w:rPr>
      <w:rFonts w:ascii="Arial" w:cs="Arial" w:eastAsia="Times New Roman" w:hAnsi="Arial"/>
      <w:b w:val="1"/>
      <w:bCs w:val="1"/>
      <w:sz w:val="26"/>
      <w:szCs w:val="26"/>
      <w:lang w:eastAsia="cs-CZ"/>
    </w:rPr>
  </w:style>
  <w:style w:type="character" w:styleId="Nadpis4Char" w:customStyle="1">
    <w:name w:val="Nadpis 4 Char"/>
    <w:basedOn w:val="Standardnpsmoodstavce"/>
    <w:link w:val="Nadpis4"/>
    <w:rsid w:val="001B7DA6"/>
    <w:rPr>
      <w:rFonts w:ascii="Times New Roman" w:cs="Times New Roman" w:eastAsia="Times New Roman" w:hAnsi="Times New Roman"/>
      <w:b w:val="1"/>
      <w:bCs w:val="1"/>
      <w:sz w:val="24"/>
      <w:szCs w:val="24"/>
      <w:lang w:eastAsia="cs-CZ"/>
    </w:rPr>
  </w:style>
  <w:style w:type="paragraph" w:styleId="Zpat">
    <w:name w:val="footer"/>
    <w:basedOn w:val="Normln"/>
    <w:link w:val="ZpatChar"/>
    <w:rsid w:val="001B7DA6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rsid w:val="001B7DA6"/>
    <w:rPr>
      <w:rFonts w:ascii="Times New Roman" w:cs="Times New Roman" w:eastAsia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rsid w:val="001B7DA6"/>
    <w:rPr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Zhlav">
    <w:name w:val="header"/>
    <w:basedOn w:val="Normln"/>
    <w:link w:val="ZhlavChar"/>
    <w:rsid w:val="001B7DA6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rsid w:val="001B7DA6"/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 w:val="1"/>
    <w:rsid w:val="00190553"/>
    <w:pPr>
      <w:ind w:left="720"/>
      <w:contextualSpacing w:val="1"/>
    </w:pPr>
  </w:style>
  <w:style w:type="paragraph" w:styleId="VetvtextuRVPZV" w:customStyle="1">
    <w:name w:val="Výčet v textu_RVPZV"/>
    <w:basedOn w:val="Normln"/>
    <w:rsid w:val="00D93BC9"/>
    <w:pPr>
      <w:numPr>
        <w:numId w:val="3"/>
      </w:numPr>
      <w:tabs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2" w:customStyle="1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2lnp+ElqxA8EXl75qiZrd48R8g==">CgMxLjAyDmguZTYydzlnZWJxanA5OABqLQoUc3VnZ2VzdC45NmMwZWxyazg2aTUSFVZlcm9uaWthIE5pcm5iZXJnb3bDoXIhMTRrRmJNS3EwZVlqelI0QVF6RVVCTmV5R0tscVdZZEND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2024-11-04T11:20:00Z</dcterms:created>
  <dc:creator>j</dc:creator>
</cp:coreProperties>
</file>